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autoSpaceDE/>
        <w:autoSpaceDN/>
        <w:bidi w:val="0"/>
        <w:adjustRightInd/>
        <w:snapToGrid/>
        <w:spacing w:before="0" w:beforeAutospacing="0" w:after="0" w:afterAutospacing="0" w:line="360" w:lineRule="auto"/>
        <w:ind w:right="1276" w:rightChars="580"/>
        <w:jc w:val="both"/>
        <w:textAlignment w:val="auto"/>
        <w:rPr>
          <w:rFonts w:ascii="Times New Roman" w:hAnsi="Times New Roman" w:cs="Times New Roman"/>
          <w:sz w:val="52"/>
          <w:szCs w:val="52"/>
          <w:highlight w:val="none"/>
        </w:rPr>
      </w:pPr>
    </w:p>
    <w:p>
      <w:pPr>
        <w:pStyle w:val="6"/>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ascii="Times New Roman" w:hAnsi="Times New Roman" w:cs="Times New Roman"/>
          <w:sz w:val="52"/>
          <w:szCs w:val="52"/>
          <w:highlight w:val="none"/>
        </w:rPr>
      </w:pPr>
    </w:p>
    <w:p>
      <w:pPr>
        <w:pStyle w:val="6"/>
        <w:pageBreakBefore w:val="0"/>
        <w:kinsoku/>
        <w:wordWrap/>
        <w:overflowPunct/>
        <w:topLinePunct w:val="0"/>
        <w:autoSpaceDE/>
        <w:autoSpaceDN/>
        <w:bidi w:val="0"/>
        <w:adjustRightInd/>
        <w:snapToGrid/>
        <w:spacing w:before="0" w:beforeAutospacing="0" w:after="0" w:afterAutospacing="0" w:line="360" w:lineRule="auto"/>
        <w:textAlignment w:val="auto"/>
        <w:rPr>
          <w:rFonts w:ascii="Times New Roman" w:hAnsi="Times New Roman" w:cs="Times New Roman"/>
          <w:sz w:val="52"/>
          <w:szCs w:val="52"/>
          <w:highlight w:val="none"/>
        </w:rPr>
      </w:pPr>
    </w:p>
    <w:p>
      <w:pPr>
        <w:pStyle w:val="6"/>
        <w:pageBreakBefore w:val="0"/>
        <w:kinsoku/>
        <w:wordWrap/>
        <w:overflowPunct/>
        <w:topLinePunct w:val="0"/>
        <w:autoSpaceDE/>
        <w:autoSpaceDN/>
        <w:bidi w:val="0"/>
        <w:adjustRightInd/>
        <w:snapToGrid/>
        <w:spacing w:before="0" w:beforeAutospacing="0" w:after="0" w:afterAutospacing="0" w:line="360" w:lineRule="auto"/>
        <w:textAlignment w:val="auto"/>
        <w:rPr>
          <w:rFonts w:ascii="Times New Roman" w:hAnsi="Times New Roman" w:cs="Times New Roman"/>
          <w:sz w:val="52"/>
          <w:szCs w:val="52"/>
          <w:highlight w:val="none"/>
        </w:rPr>
      </w:pPr>
      <w:r>
        <w:rPr>
          <w:rFonts w:ascii="Times New Roman" w:hAnsi="Times New Roman" w:cs="Times New Roman"/>
          <w:sz w:val="52"/>
          <w:szCs w:val="52"/>
          <w:highlight w:val="none"/>
        </w:rPr>
        <w:t>Alytaus šv. Benedikto gimnazijos</w:t>
      </w:r>
    </w:p>
    <w:p>
      <w:pPr>
        <w:pStyle w:val="6"/>
        <w:pageBreakBefore w:val="0"/>
        <w:kinsoku/>
        <w:wordWrap/>
        <w:overflowPunct/>
        <w:topLinePunct w:val="0"/>
        <w:autoSpaceDE/>
        <w:autoSpaceDN/>
        <w:bidi w:val="0"/>
        <w:adjustRightInd/>
        <w:snapToGrid/>
        <w:spacing w:before="0" w:beforeAutospacing="0" w:after="0" w:afterAutospacing="0" w:line="360" w:lineRule="auto"/>
        <w:textAlignment w:val="auto"/>
        <w:rPr>
          <w:rFonts w:ascii="Times New Roman" w:hAnsi="Times New Roman" w:cs="Times New Roman"/>
          <w:sz w:val="52"/>
          <w:szCs w:val="52"/>
          <w:highlight w:val="none"/>
        </w:rPr>
      </w:pPr>
      <w:r>
        <w:rPr>
          <w:rFonts w:ascii="Times New Roman" w:hAnsi="Times New Roman" w:cs="Times New Roman"/>
          <w:sz w:val="52"/>
          <w:szCs w:val="52"/>
          <w:highlight w:val="none"/>
        </w:rPr>
        <w:t xml:space="preserve">akademinio sąžiningumo </w:t>
      </w:r>
    </w:p>
    <w:p>
      <w:pPr>
        <w:pStyle w:val="6"/>
        <w:pageBreakBefore w:val="0"/>
        <w:kinsoku/>
        <w:wordWrap/>
        <w:overflowPunct/>
        <w:topLinePunct w:val="0"/>
        <w:autoSpaceDE/>
        <w:autoSpaceDN/>
        <w:bidi w:val="0"/>
        <w:adjustRightInd/>
        <w:snapToGrid/>
        <w:spacing w:before="0" w:beforeAutospacing="0" w:after="0" w:afterAutospacing="0" w:line="360" w:lineRule="auto"/>
        <w:textAlignment w:val="auto"/>
        <w:rPr>
          <w:rFonts w:ascii="Times New Roman" w:hAnsi="Times New Roman" w:cs="Times New Roman"/>
          <w:highlight w:val="none"/>
        </w:rPr>
      </w:pPr>
      <w:r>
        <w:rPr>
          <w:rFonts w:ascii="Times New Roman" w:hAnsi="Times New Roman" w:cs="Times New Roman"/>
          <w:sz w:val="52"/>
          <w:szCs w:val="52"/>
          <w:highlight w:val="none"/>
        </w:rPr>
        <w:t>tvarkos aprašo projektas</w:t>
      </w:r>
    </w:p>
    <w:p>
      <w:pPr>
        <w:pageBreakBefore w:val="0"/>
        <w:kinsoku/>
        <w:wordWrap/>
        <w:overflowPunct/>
        <w:topLinePunct w:val="0"/>
        <w:autoSpaceDE/>
        <w:autoSpaceDN/>
        <w:bidi w:val="0"/>
        <w:adjustRightInd/>
        <w:snapToGrid/>
        <w:spacing w:after="0" w:line="360" w:lineRule="auto"/>
        <w:jc w:val="center"/>
        <w:textAlignment w:val="auto"/>
        <w:rPr>
          <w:rFonts w:ascii="Times New Roman" w:hAnsi="Times New Roman" w:cs="Times New Roman"/>
          <w:sz w:val="24"/>
          <w:szCs w:val="24"/>
          <w:highlight w:val="none"/>
        </w:rPr>
        <w:sectPr>
          <w:footerReference r:id="rId5" w:type="default"/>
          <w:pgSz w:w="11906" w:h="16838"/>
          <w:pgMar w:top="567" w:right="567" w:bottom="1134" w:left="1701" w:header="567" w:footer="567" w:gutter="0"/>
          <w:cols w:space="0" w:num="1"/>
          <w:docGrid w:linePitch="360" w:charSpace="0"/>
        </w:sectPr>
      </w:pPr>
    </w:p>
    <w:p>
      <w:pPr>
        <w:pStyle w:val="2"/>
        <w:pageBreakBefore w:val="0"/>
        <w:kinsoku/>
        <w:wordWrap/>
        <w:overflowPunct/>
        <w:topLinePunct w:val="0"/>
        <w:autoSpaceDE/>
        <w:autoSpaceDN/>
        <w:bidi w:val="0"/>
        <w:adjustRightInd/>
        <w:snapToGrid/>
        <w:spacing w:before="0"/>
        <w:textAlignment w:val="auto"/>
        <w:rPr>
          <w:rFonts w:cs="Times New Roman"/>
          <w:highlight w:val="none"/>
        </w:rPr>
      </w:pPr>
      <w:r>
        <w:rPr>
          <w:rFonts w:cs="Times New Roman"/>
          <w:highlight w:val="none"/>
        </w:rPr>
        <w:t>I. Bendrosios nuostatos</w:t>
      </w:r>
    </w:p>
    <w:p>
      <w:pPr>
        <w:pageBreakBefore w:val="0"/>
        <w:kinsoku/>
        <w:wordWrap/>
        <w:overflowPunct/>
        <w:topLinePunct w:val="0"/>
        <w:autoSpaceDE/>
        <w:autoSpaceDN/>
        <w:bidi w:val="0"/>
        <w:adjustRightInd/>
        <w:snapToGrid/>
        <w:spacing w:after="0" w:line="360" w:lineRule="auto"/>
        <w:ind w:firstLine="44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Alytaus šv. Benedikto gimnazijos akademinio sąžiningumo tvarkos aprašas vadovaujasi gimnazijos vizija: Šv. Benedikto gimnazija – tai atvira kaitai, nuolat besimokanti, savo veikloje besivadovaujanti krikščioniškosiomis vertybėmis, siekianti kiekvieno bendruomenės nario augimo ilgoji gimnazija, siekianti įgyvendinti Tarptautinio bakalaureato pagrindinio (MYP) ir vidurinio ugdymo (DP) Tarptautinio bakalaureato (toliau TBO) programas. Gimnazijos misija yra teikti kokybišką pradinį, pagrindinį ir vidurinį ugdymą, skatinti visokeriopą visų mokyklos bendruomenės narių tobulėjimą, puoselėti krikščioniškąsias ir bendražmogiškąsias vertybes, ugdyti savarankiškas asmenybes, kurios savo gebėjimais tarnautų visuomenės gerovei.</w:t>
      </w:r>
    </w:p>
    <w:p>
      <w:pPr>
        <w:pageBreakBefore w:val="0"/>
        <w:kinsoku/>
        <w:wordWrap/>
        <w:overflowPunct/>
        <w:topLinePunct w:val="0"/>
        <w:autoSpaceDE/>
        <w:autoSpaceDN/>
        <w:bidi w:val="0"/>
        <w:adjustRightInd/>
        <w:snapToGrid/>
        <w:spacing w:after="0" w:line="360" w:lineRule="auto"/>
        <w:ind w:firstLine="44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Kadangi akademiniam sąžiningumui turi įtakos daugelis veiksnių (gimnazijos bendruomenės narių bendravimo kultūra, kompetencijų įvairovė, tėvų lūkesčiai, sektinų pavyzdžių formavimas, bendraamžiai ir draugai), Alytaus šv. Benedikto gimnazijos bendruomenės nariai yra nuolat supažindinami su sąvokomis, susijusiomis su akademiniu sąžiningumu, ypač intelektine nuosavybe ir jos autentiškumu, prasme ir reikšme.</w:t>
      </w:r>
    </w:p>
    <w:p>
      <w:pPr>
        <w:pStyle w:val="2"/>
        <w:pageBreakBefore w:val="0"/>
        <w:kinsoku/>
        <w:wordWrap/>
        <w:overflowPunct/>
        <w:topLinePunct w:val="0"/>
        <w:autoSpaceDE/>
        <w:autoSpaceDN/>
        <w:bidi w:val="0"/>
        <w:adjustRightInd/>
        <w:snapToGrid/>
        <w:textAlignment w:val="auto"/>
        <w:rPr>
          <w:highlight w:val="none"/>
        </w:rPr>
      </w:pPr>
      <w:r>
        <w:rPr>
          <w:highlight w:val="none"/>
        </w:rPr>
        <w:t>II. Akademinio sąžiningumo kontekstas mokykloje</w:t>
      </w:r>
    </w:p>
    <w:p>
      <w:pPr>
        <w:pageBreakBefore w:val="0"/>
        <w:kinsoku/>
        <w:wordWrap/>
        <w:overflowPunct/>
        <w:topLinePunct w:val="0"/>
        <w:autoSpaceDE/>
        <w:autoSpaceDN/>
        <w:bidi w:val="0"/>
        <w:adjustRightInd/>
        <w:snapToGrid/>
        <w:spacing w:after="0" w:line="360" w:lineRule="auto"/>
        <w:ind w:firstLine="44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Norint užauginti dorus piliečius ir (iš)ugdyti tokias savybes, kaip principingumas, smalsumas, mąstymas, svarbu suprasti akademinio sąžiningumo svarbą. Akademinis sąžiningumas reiškia viso akademinio darbo atlikimą neapgaudinėjant, neplagijuojant, nevagiant, negaunant ar nesuteikiant neteisėtos pagalbos, nenaudojant informacijos šaltinio be tinkamo patvirtinimo.</w:t>
      </w:r>
    </w:p>
    <w:p>
      <w:pPr>
        <w:pageBreakBefore w:val="0"/>
        <w:kinsoku/>
        <w:wordWrap/>
        <w:overflowPunct/>
        <w:topLinePunct w:val="0"/>
        <w:autoSpaceDE/>
        <w:autoSpaceDN/>
        <w:bidi w:val="0"/>
        <w:adjustRightInd/>
        <w:snapToGrid/>
        <w:spacing w:after="0" w:line="360" w:lineRule="auto"/>
        <w:ind w:firstLine="44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Mokant, mokantis ir vertinant, akademinis sąžiningumas skatina gerbti kitus bei jų darbus, mintis, idėjas. Akademinis sąžiningumas taip pat padeda išlikti sąžiningiems ir užtikrinti, kad visi mokiniai turėtų vienodas galimybes demonstruoti savo mokymosi metu įgytas žinias bei įgūdžius. Akademinio sąžiningumo praktika gimnazijoje suvokiama pozityviai. Ji remiasi ne tik sankcijų ir nuobaudų taikymu tiems mokiniams, kurie nesilaiko ar nesistengia laikytis susitarimų, bet ir gerosios praktikos ugdymo principais, prevencija.</w:t>
      </w:r>
    </w:p>
    <w:p>
      <w:pPr>
        <w:pageBreakBefore w:val="0"/>
        <w:kinsoku/>
        <w:wordWrap/>
        <w:overflowPunct/>
        <w:topLinePunct w:val="0"/>
        <w:autoSpaceDE/>
        <w:autoSpaceDN/>
        <w:bidi w:val="0"/>
        <w:adjustRightInd/>
        <w:snapToGrid/>
        <w:spacing w:after="0" w:line="360" w:lineRule="auto"/>
        <w:ind w:firstLine="44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Akademinio sąžiningumo tvarkos aprašą palaikantys mokyklos mokytojai, mokiniai ir jų tėvai kuria bendruomenę, kurioje ugdomas akademinis sąžiningumas, jo tikimasi ir praktikuojamas kasdieniniame mokyklos gyvenime.</w:t>
      </w:r>
    </w:p>
    <w:p>
      <w:pPr>
        <w:pStyle w:val="2"/>
        <w:pageBreakBefore w:val="0"/>
        <w:kinsoku/>
        <w:wordWrap/>
        <w:overflowPunct/>
        <w:topLinePunct w:val="0"/>
        <w:autoSpaceDE/>
        <w:autoSpaceDN/>
        <w:bidi w:val="0"/>
        <w:adjustRightInd/>
        <w:snapToGrid/>
        <w:textAlignment w:val="auto"/>
        <w:rPr>
          <w:highlight w:val="none"/>
        </w:rPr>
      </w:pPr>
      <w:r>
        <w:rPr>
          <w:highlight w:val="none"/>
        </w:rPr>
        <w:t xml:space="preserve">III. Akademinis nesąžiningumas </w:t>
      </w:r>
    </w:p>
    <w:p>
      <w:pPr>
        <w:pageBreakBefore w:val="0"/>
        <w:numPr>
          <w:ilvl w:val="0"/>
          <w:numId w:val="1"/>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Alytaus šv. Benedikto gimnazijos bendruomenė akademinį nesąžiningumą apibrėžia kaip elgesį, kuriuo mokinys įgyja nesąžiningą pranašumą mokymosi procese ar bet kokio pobūdžio vertinime. Akademiniu nesąžiningumu yra laikomas:</w:t>
      </w:r>
    </w:p>
    <w:p>
      <w:pPr>
        <w:pageBreakBefore w:val="0"/>
        <w:numPr>
          <w:ilvl w:val="1"/>
          <w:numId w:val="1"/>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b/>
          <w:bCs/>
          <w:sz w:val="24"/>
          <w:szCs w:val="24"/>
          <w:highlight w:val="none"/>
        </w:rPr>
        <w:t xml:space="preserve">Plagijavimas. </w:t>
      </w:r>
      <w:r>
        <w:rPr>
          <w:rFonts w:ascii="Times New Roman" w:hAnsi="Times New Roman" w:cs="Times New Roman"/>
          <w:sz w:val="24"/>
          <w:szCs w:val="24"/>
          <w:highlight w:val="none"/>
        </w:rPr>
        <w:t xml:space="preserve">Jis apibrėžiamas kaip tyčinis ar netyčinis kito asmens idėjų, žodžių ar darbo pasisavinimas be tinkamo, aiškaus pripažinimo, nurodymo. </w:t>
      </w:r>
      <w:r>
        <w:rPr>
          <w:rFonts w:ascii="Times New Roman" w:hAnsi="Times New Roman"/>
          <w:sz w:val="24"/>
          <w:highlight w:val="none"/>
        </w:rPr>
        <w:t xml:space="preserve">Mokinio darbas, kuriame iš užsienio kalbos versta informacija pateikiama kaip savo paties mintys, nenurodant šaltinio, </w:t>
      </w:r>
      <w:r>
        <w:rPr>
          <w:rFonts w:ascii="Times New Roman" w:hAnsi="Times New Roman" w:cs="Times New Roman"/>
          <w:sz w:val="24"/>
          <w:szCs w:val="24"/>
          <w:highlight w:val="none"/>
        </w:rPr>
        <w:t xml:space="preserve">taip pat atsiskaitymo metu kopijavimas iš savo užrašų </w:t>
      </w:r>
      <w:r>
        <w:rPr>
          <w:rFonts w:ascii="Times New Roman" w:hAnsi="Times New Roman"/>
          <w:sz w:val="24"/>
          <w:highlight w:val="none"/>
        </w:rPr>
        <w:t>yra vertinamas kaip plagiatas</w:t>
      </w:r>
      <w:r>
        <w:rPr>
          <w:rFonts w:ascii="Times New Roman" w:hAnsi="Times New Roman" w:cs="Times New Roman"/>
          <w:sz w:val="24"/>
          <w:szCs w:val="24"/>
          <w:highlight w:val="none"/>
        </w:rPr>
        <w:t xml:space="preserve">. </w:t>
      </w:r>
      <w:r>
        <w:rPr>
          <w:rFonts w:ascii="Times New Roman" w:hAnsi="Times New Roman"/>
          <w:sz w:val="24"/>
          <w:szCs w:val="24"/>
          <w:highlight w:val="none"/>
        </w:rPr>
        <w:t>Naudodamiesi internetinėmis svetainėmis ir jose pateikta informacija mokiniai privalo nurodyti savo darbe panaudotos informacijos (žemėlapių, fotografijų, iliustracijų, duomenų, grafikų ir kitų kopijų) šaltinį ir adresą. Meno (tapybos, skulptūros, grafikos, muzikos, kino, šokio, teatro ir kt.) kūrinių kopijavimas be tinkamo patvirtinimo taip pat gali būti laikomas plagijavimu;</w:t>
      </w:r>
    </w:p>
    <w:p>
      <w:pPr>
        <w:numPr>
          <w:ilvl w:val="1"/>
          <w:numId w:val="1"/>
        </w:numPr>
        <w:spacing w:after="0" w:line="360" w:lineRule="auto"/>
        <w:jc w:val="both"/>
        <w:rPr>
          <w:rFonts w:ascii="Times New Roman" w:hAnsi="Times New Roman"/>
          <w:sz w:val="24"/>
          <w:highlight w:val="none"/>
        </w:rPr>
      </w:pPr>
      <w:r>
        <w:rPr>
          <w:rFonts w:ascii="Times New Roman" w:hAnsi="Times New Roman" w:cs="Times New Roman"/>
          <w:b/>
          <w:bCs/>
          <w:sz w:val="24"/>
          <w:szCs w:val="24"/>
          <w:highlight w:val="none"/>
        </w:rPr>
        <w:t>Darbo dubliavimas</w:t>
      </w:r>
      <w:r>
        <w:rPr>
          <w:rFonts w:ascii="Times New Roman" w:hAnsi="Times New Roman" w:cs="Times New Roman"/>
          <w:sz w:val="24"/>
          <w:szCs w:val="24"/>
          <w:highlight w:val="none"/>
        </w:rPr>
        <w:t xml:space="preserve"> – tai to paties darbo pateikimas skirtingiems vertintojams, mokytojams;</w:t>
      </w:r>
    </w:p>
    <w:p>
      <w:pPr>
        <w:pageBreakBefore w:val="0"/>
        <w:numPr>
          <w:ilvl w:val="0"/>
          <w:numId w:val="0"/>
        </w:numPr>
        <w:kinsoku/>
        <w:wordWrap/>
        <w:overflowPunct/>
        <w:topLinePunct w:val="0"/>
        <w:autoSpaceDE/>
        <w:autoSpaceDN/>
        <w:bidi w:val="0"/>
        <w:adjustRightInd/>
        <w:snapToGrid/>
        <w:spacing w:after="0" w:line="360" w:lineRule="auto"/>
        <w:ind w:leftChars="0"/>
        <w:jc w:val="both"/>
        <w:textAlignment w:val="auto"/>
        <w:rPr>
          <w:rFonts w:hint="default" w:ascii="Times New Roman" w:hAnsi="Times New Roman"/>
          <w:sz w:val="24"/>
          <w:szCs w:val="24"/>
          <w:highlight w:val="none"/>
          <w:lang w:val="lt-LT"/>
        </w:rPr>
      </w:pPr>
      <w:r>
        <w:rPr>
          <w:rFonts w:ascii="Times New Roman" w:hAnsi="Times New Roman" w:cs="Times New Roman"/>
          <w:b/>
          <w:bCs/>
          <w:sz w:val="24"/>
          <w:szCs w:val="24"/>
          <w:highlight w:val="none"/>
        </w:rPr>
        <w:t>Darbo dubliavimas</w:t>
      </w:r>
      <w:r>
        <w:rPr>
          <w:rFonts w:ascii="Times New Roman" w:hAnsi="Times New Roman" w:cs="Times New Roman"/>
          <w:sz w:val="24"/>
          <w:szCs w:val="24"/>
          <w:highlight w:val="none"/>
        </w:rPr>
        <w:t xml:space="preserve"> – tai to paties darbo pateikimas skirtingiems mokytojams</w:t>
      </w:r>
      <w:r>
        <w:rPr>
          <w:rFonts w:hint="default" w:ascii="Times New Roman" w:hAnsi="Times New Roman" w:cs="Times New Roman"/>
          <w:sz w:val="24"/>
          <w:szCs w:val="24"/>
          <w:highlight w:val="none"/>
          <w:lang w:val="lt-LT"/>
        </w:rPr>
        <w:t xml:space="preserve"> už s</w:t>
      </w:r>
      <w:r>
        <w:rPr>
          <w:rFonts w:ascii="Times New Roman" w:hAnsi="Times New Roman" w:cs="Times New Roman"/>
          <w:sz w:val="24"/>
          <w:szCs w:val="24"/>
          <w:highlight w:val="none"/>
        </w:rPr>
        <w:t>kirting</w:t>
      </w:r>
      <w:r>
        <w:rPr>
          <w:rFonts w:hint="default" w:ascii="Times New Roman" w:hAnsi="Times New Roman" w:cs="Times New Roman"/>
          <w:sz w:val="24"/>
          <w:szCs w:val="24"/>
          <w:highlight w:val="none"/>
          <w:lang w:val="lt-LT"/>
        </w:rPr>
        <w:t>us</w:t>
      </w:r>
      <w:r>
        <w:rPr>
          <w:rFonts w:ascii="Times New Roman" w:hAnsi="Times New Roman" w:cs="Times New Roman"/>
          <w:sz w:val="24"/>
          <w:szCs w:val="24"/>
          <w:highlight w:val="none"/>
        </w:rPr>
        <w:t xml:space="preserve"> atsiskaitymu</w:t>
      </w:r>
      <w:r>
        <w:rPr>
          <w:rFonts w:hint="default" w:ascii="Times New Roman" w:hAnsi="Times New Roman" w:cs="Times New Roman"/>
          <w:sz w:val="24"/>
          <w:szCs w:val="24"/>
          <w:highlight w:val="none"/>
          <w:lang w:val="lt-LT"/>
        </w:rPr>
        <w:t>s;</w:t>
      </w:r>
    </w:p>
    <w:p>
      <w:pPr>
        <w:pageBreakBefore w:val="0"/>
        <w:numPr>
          <w:ilvl w:val="1"/>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b/>
          <w:bCs/>
          <w:sz w:val="24"/>
          <w:highlight w:val="none"/>
        </w:rPr>
        <w:t>Kiti akademinio nesąžiningumo atvejai:</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szCs w:val="24"/>
          <w:highlight w:val="none"/>
        </w:rPr>
      </w:pPr>
      <w:r>
        <w:rPr>
          <w:rFonts w:ascii="Times New Roman" w:hAnsi="Times New Roman"/>
          <w:sz w:val="24"/>
          <w:szCs w:val="24"/>
          <w:highlight w:val="none"/>
        </w:rPr>
        <w:t>neleistinos medžiagos ar priemonių (pvz.: mobiliojo telefono, kitos išmaniosios įrangos, užrašų, paruoštukų) įsinešimas į kontrolinių darbų, egzaminų patalpas;</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sz w:val="24"/>
          <w:highlight w:val="none"/>
        </w:rPr>
        <w:t>neleistinos medžiagos palikimas kurioje nors mokyklos patalpoje (pvz., WC) ar pasinaudojimas neteisėtai palikta medžiaga;</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sz w:val="24"/>
          <w:highlight w:val="none"/>
        </w:rPr>
        <w:t>netinkamas elgesys, atitraukiantis kitų mokinių dėmesį, keitimasis informacija arba bandymas kokiu nors būdu pasikeisti informacija su kitu mokiniu per kontrolinį darbą, egzaminą;</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cs="Times New Roman"/>
          <w:sz w:val="24"/>
          <w:szCs w:val="24"/>
          <w:highlight w:val="none"/>
        </w:rPr>
        <w:t>kito mokinio netinkamo elgesio palaikymas, pavyzdžiui, leidimas nukopijuoti savo darbus arba jų pateikimas kito mokinio vardu;</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sz w:val="24"/>
          <w:highlight w:val="none"/>
        </w:rPr>
        <w:t>apsimetimas kitu mokiniu;</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sz w:val="24"/>
          <w:highlight w:val="none"/>
        </w:rPr>
        <w:t>kontrolinio darbo, egzamino užduočių fotografavimas ir platinimas bet kokiais būdais;</w:t>
      </w:r>
    </w:p>
    <w:p>
      <w:pPr>
        <w:pageBreakBefore w:val="0"/>
        <w:numPr>
          <w:ilvl w:val="2"/>
          <w:numId w:val="1"/>
        </w:numPr>
        <w:kinsoku/>
        <w:wordWrap/>
        <w:overflowPunct/>
        <w:topLinePunct w:val="0"/>
        <w:autoSpaceDE/>
        <w:autoSpaceDN/>
        <w:bidi w:val="0"/>
        <w:adjustRightInd/>
        <w:snapToGrid/>
        <w:spacing w:after="0" w:line="360" w:lineRule="auto"/>
        <w:jc w:val="both"/>
        <w:textAlignment w:val="auto"/>
        <w:rPr>
          <w:rFonts w:ascii="Times New Roman" w:hAnsi="Times New Roman"/>
          <w:sz w:val="24"/>
          <w:highlight w:val="none"/>
        </w:rPr>
      </w:pPr>
      <w:r>
        <w:rPr>
          <w:rFonts w:ascii="Times New Roman" w:hAnsi="Times New Roman"/>
          <w:sz w:val="24"/>
          <w:highlight w:val="none"/>
        </w:rPr>
        <w:t>pamokų filmavimas ar fotografavimas be mokytojų sutikimo.</w:t>
      </w:r>
    </w:p>
    <w:p>
      <w:pPr>
        <w:pStyle w:val="2"/>
        <w:pageBreakBefore w:val="0"/>
        <w:kinsoku/>
        <w:wordWrap/>
        <w:overflowPunct/>
        <w:topLinePunct w:val="0"/>
        <w:autoSpaceDE/>
        <w:autoSpaceDN/>
        <w:bidi w:val="0"/>
        <w:adjustRightInd/>
        <w:snapToGrid/>
        <w:textAlignment w:val="auto"/>
        <w:rPr>
          <w:highlight w:val="none"/>
        </w:rPr>
      </w:pPr>
      <w:r>
        <w:rPr>
          <w:highlight w:val="none"/>
        </w:rPr>
        <w:t>IV. Akademinio nesąžiningumo pasekmės</w:t>
      </w:r>
    </w:p>
    <w:p>
      <w:pPr>
        <w:pageBreakBefore w:val="0"/>
        <w:numPr>
          <w:ilvl w:val="0"/>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Mūsų gimnazijoje sankcijos už akademinį nesąžiningumą yra taikomos:</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heme="minorAscii" w:hAnsiTheme="minorAscii" w:eastAsiaTheme="minorAscii" w:cstheme="minorAscii"/>
          <w:sz w:val="22"/>
          <w:szCs w:val="22"/>
          <w:highlight w:val="none"/>
        </w:rPr>
      </w:pPr>
      <w:r>
        <w:rPr>
          <w:rFonts w:ascii="Times New Roman" w:hAnsi="Times New Roman" w:cs="Times New Roman"/>
          <w:b/>
          <w:bCs/>
          <w:sz w:val="24"/>
          <w:szCs w:val="24"/>
          <w:highlight w:val="none"/>
        </w:rPr>
        <w:t>jei darbas plagijuojamas</w:t>
      </w:r>
      <w:r>
        <w:rPr>
          <w:rFonts w:ascii="Times New Roman" w:hAnsi="Times New Roman" w:cs="Times New Roman"/>
          <w:sz w:val="24"/>
          <w:szCs w:val="24"/>
          <w:highlight w:val="none"/>
        </w:rPr>
        <w:t>. Jei mokinio pateiktoje užduotyje yra daugiau nei 10% plagijuotos medžiagos, darbas nėra priimamas ir mokinys turi jį pateikti dar kartą. Jei mokinio darbe yra tarp 40–50 iš eilės einančių žodžių ir nenurodytas informacijos šaltinis, ta darbo dalis nevertinama. Jei yra daugiau nei 51 žodis iš eilės ir nenurodytas informacijos šaltinis, darbas nėra vertinimas ir mokinys turi jį pateikti dar kartą;</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b/>
          <w:bCs/>
          <w:sz w:val="24"/>
          <w:szCs w:val="24"/>
          <w:highlight w:val="none"/>
        </w:rPr>
        <w:t>jei darbas dubliuojamas</w:t>
      </w:r>
      <w:r>
        <w:rPr>
          <w:rFonts w:ascii="Times New Roman" w:hAnsi="Times New Roman" w:cs="Times New Roman"/>
          <w:sz w:val="24"/>
          <w:szCs w:val="24"/>
          <w:highlight w:val="none"/>
        </w:rPr>
        <w:t>. Tokio pobūdžio darbas nėra priimamas, darbas įvertinamas vienetu be galimybės pakartotinai jį pateikti;</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b/>
          <w:bCs/>
          <w:sz w:val="24"/>
          <w:szCs w:val="24"/>
          <w:highlight w:val="none"/>
        </w:rPr>
        <w:t>jei naudojamos įvairios technologijos</w:t>
      </w:r>
      <w:r>
        <w:rPr>
          <w:rFonts w:ascii="Times New Roman" w:hAnsi="Times New Roman" w:cs="Times New Roman"/>
          <w:sz w:val="24"/>
          <w:szCs w:val="24"/>
          <w:highlight w:val="none"/>
        </w:rPr>
        <w:t>. Pirmą kartą mokinys įspėjamas, antrą kartą užduotis nebepriimama</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b/>
          <w:bCs/>
          <w:sz w:val="24"/>
          <w:szCs w:val="24"/>
          <w:highlight w:val="none"/>
        </w:rPr>
        <w:t>jei vertinimo užduotys fotografuojamos ir platinamos bet kokiu būdu</w:t>
      </w:r>
      <w:r>
        <w:rPr>
          <w:rFonts w:ascii="Times New Roman" w:hAnsi="Times New Roman" w:cs="Times New Roman"/>
          <w:sz w:val="24"/>
          <w:szCs w:val="24"/>
          <w:highlight w:val="none"/>
        </w:rPr>
        <w:t>. Jeigu mokinys nukopijavo savo darbą ir išplatino užduotis, toks darbas nėra priimamas, o tokiam mokiniui nėra suteikiama antroji galimybė atlikti tą pačią užduotį. Darbas vertinamas vienetu. Kitų mokinių užduotys turi būti pakeistos;</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bet kokio kito nesąžiningo poelgio, dėl kurio mokinys įgyja pranašumą </w:t>
      </w:r>
      <w:r>
        <w:rPr>
          <w:rFonts w:ascii="Times New Roman" w:hAnsi="Times New Roman" w:cs="Times New Roman"/>
          <w:sz w:val="24"/>
          <w:szCs w:val="24"/>
          <w:highlight w:val="none"/>
        </w:rPr>
        <w:t xml:space="preserve">prieš kitus mokinius ar paveikia kito mokinio rezultatus (pavyzdžiui, darbų klastojimas, neteisėtos medžiagos, priemonių įsinešimas ir naudojimas per kontrolinį darbą, egzaminą) atveju, imamasi šių </w:t>
      </w:r>
      <w:r>
        <w:rPr>
          <w:rFonts w:ascii="Times New Roman" w:hAnsi="Times New Roman" w:cs="Times New Roman"/>
          <w:b/>
          <w:bCs/>
          <w:sz w:val="24"/>
          <w:szCs w:val="24"/>
          <w:highlight w:val="none"/>
        </w:rPr>
        <w:t>procedūrų:</w:t>
      </w:r>
    </w:p>
    <w:p>
      <w:pPr>
        <w:pageBreakBefore w:val="0"/>
        <w:numPr>
          <w:ilvl w:val="2"/>
          <w:numId w:val="2"/>
        </w:numPr>
        <w:tabs>
          <w:tab w:val="left" w:pos="567"/>
          <w:tab w:val="clear" w:pos="709"/>
        </w:tabs>
        <w:kinsoku/>
        <w:wordWrap/>
        <w:overflowPunct/>
        <w:topLinePunct w:val="0"/>
        <w:autoSpaceDE/>
        <w:autoSpaceDN/>
        <w:bidi w:val="0"/>
        <w:adjustRightInd/>
        <w:snapToGrid/>
        <w:spacing w:after="0" w:line="360" w:lineRule="auto"/>
        <w:ind w:left="0" w:firstLine="0"/>
        <w:jc w:val="both"/>
        <w:textAlignment w:val="auto"/>
        <w:rPr>
          <w:rFonts w:ascii="Times New Roman" w:hAnsi="Times New Roman" w:cs="Times New Roman"/>
          <w:highlight w:val="none"/>
        </w:rPr>
      </w:pPr>
      <w:r>
        <w:rPr>
          <w:rFonts w:ascii="Times New Roman" w:hAnsi="Times New Roman"/>
          <w:sz w:val="24"/>
          <w:szCs w:val="24"/>
          <w:highlight w:val="none"/>
        </w:rPr>
        <w:t>jei nusižengiama pirmą kartą, mokytojas įspėja mokinį žodžiu, darbą įvertina vienetu ir apie tai informuoja mokinio tėvus (globėjus, rūpintojus)</w:t>
      </w:r>
      <w:r>
        <w:rPr>
          <w:rFonts w:hint="default" w:ascii="Times New Roman" w:hAnsi="Times New Roman"/>
          <w:sz w:val="24"/>
          <w:szCs w:val="24"/>
          <w:highlight w:val="none"/>
          <w:lang w:val="lt-LT"/>
        </w:rPr>
        <w:t>. Mokiniui suteikiama galimybė atsiskaityti darbą dar kartą;</w:t>
      </w:r>
    </w:p>
    <w:p>
      <w:pPr>
        <w:pageBreakBefore w:val="0"/>
        <w:numPr>
          <w:ilvl w:val="2"/>
          <w:numId w:val="2"/>
        </w:numPr>
        <w:tabs>
          <w:tab w:val="left" w:pos="567"/>
          <w:tab w:val="clear" w:pos="709"/>
        </w:tabs>
        <w:kinsoku/>
        <w:wordWrap/>
        <w:overflowPunct/>
        <w:topLinePunct w:val="0"/>
        <w:autoSpaceDE/>
        <w:autoSpaceDN/>
        <w:bidi w:val="0"/>
        <w:adjustRightInd/>
        <w:snapToGrid/>
        <w:spacing w:after="0" w:line="360" w:lineRule="auto"/>
        <w:ind w:left="0" w:firstLine="0"/>
        <w:jc w:val="both"/>
        <w:textAlignment w:val="auto"/>
        <w:rPr>
          <w:rFonts w:ascii="Times New Roman" w:hAnsi="Times New Roman" w:cs="Times New Roman"/>
          <w:highlight w:val="none"/>
        </w:rPr>
      </w:pPr>
      <w:r>
        <w:rPr>
          <w:rFonts w:ascii="Times New Roman" w:hAnsi="Times New Roman"/>
          <w:sz w:val="24"/>
          <w:szCs w:val="24"/>
          <w:highlight w:val="none"/>
        </w:rPr>
        <w:t xml:space="preserve">jei nusižengiama antrą kartą – darbas įvertinamas vienetu ir </w:t>
      </w:r>
      <w:r>
        <w:rPr>
          <w:rFonts w:hint="default" w:ascii="Times New Roman" w:hAnsi="Times New Roman"/>
          <w:sz w:val="24"/>
          <w:szCs w:val="24"/>
          <w:highlight w:val="none"/>
          <w:lang w:val="lt-LT"/>
        </w:rPr>
        <w:t>nėra suteikiama galimybė atlikti tą patį darbą. P</w:t>
      </w:r>
      <w:r>
        <w:rPr>
          <w:rFonts w:ascii="Times New Roman" w:hAnsi="Times New Roman"/>
          <w:sz w:val="24"/>
          <w:szCs w:val="24"/>
          <w:highlight w:val="none"/>
        </w:rPr>
        <w:t xml:space="preserve">okalbiui į gimnaziją kviečiami mokinio tėvai (globėjai, rūpintojai); </w:t>
      </w:r>
    </w:p>
    <w:p>
      <w:pPr>
        <w:pageBreakBefore w:val="0"/>
        <w:numPr>
          <w:ilvl w:val="2"/>
          <w:numId w:val="2"/>
        </w:numPr>
        <w:tabs>
          <w:tab w:val="left" w:pos="567"/>
          <w:tab w:val="clear" w:pos="709"/>
        </w:tabs>
        <w:kinsoku/>
        <w:wordWrap/>
        <w:overflowPunct/>
        <w:topLinePunct w:val="0"/>
        <w:autoSpaceDE/>
        <w:autoSpaceDN/>
        <w:bidi w:val="0"/>
        <w:adjustRightInd/>
        <w:snapToGrid/>
        <w:spacing w:after="0" w:line="360" w:lineRule="auto"/>
        <w:ind w:left="0" w:firstLine="0"/>
        <w:jc w:val="both"/>
        <w:textAlignment w:val="auto"/>
        <w:rPr>
          <w:rFonts w:ascii="Calibri" w:hAnsi="Calibri" w:eastAsia="Calibri"/>
          <w:sz w:val="22"/>
          <w:szCs w:val="22"/>
          <w:highlight w:val="none"/>
        </w:rPr>
      </w:pPr>
      <w:r>
        <w:rPr>
          <w:rFonts w:ascii="Times New Roman" w:hAnsi="Times New Roman"/>
          <w:sz w:val="24"/>
          <w:szCs w:val="24"/>
          <w:highlight w:val="none"/>
        </w:rPr>
        <w:t>jei mokinys nusižengia trečiąkart – mokytojas informuoja direktoriaus pavaduotoją, mokinys įspėjamas raštu, darbą įvertina vienetu</w:t>
      </w:r>
      <w:r>
        <w:rPr>
          <w:rFonts w:hint="default" w:ascii="Times New Roman" w:hAnsi="Times New Roman"/>
          <w:sz w:val="24"/>
          <w:szCs w:val="24"/>
          <w:highlight w:val="none"/>
          <w:lang w:val="lt-LT"/>
        </w:rPr>
        <w:t>.</w:t>
      </w:r>
      <w:r>
        <w:rPr>
          <w:rFonts w:ascii="Times New Roman" w:hAnsi="Times New Roman"/>
          <w:sz w:val="24"/>
          <w:szCs w:val="24"/>
          <w:highlight w:val="none"/>
        </w:rPr>
        <w:t xml:space="preserve"> </w:t>
      </w:r>
      <w:r>
        <w:rPr>
          <w:rFonts w:hint="default" w:ascii="Times New Roman" w:hAnsi="Times New Roman"/>
          <w:sz w:val="24"/>
          <w:szCs w:val="24"/>
          <w:highlight w:val="none"/>
          <w:lang w:val="lt-LT"/>
        </w:rPr>
        <w:t>M</w:t>
      </w:r>
      <w:r>
        <w:rPr>
          <w:rFonts w:ascii="Times New Roman" w:hAnsi="Times New Roman"/>
          <w:sz w:val="24"/>
          <w:szCs w:val="24"/>
          <w:highlight w:val="none"/>
        </w:rPr>
        <w:t>okinio elgesys yra svarstomas Vaiko gerovės komisijos posėdyje, kuriame dalyvauja ir mokinio tėvai (globėjai, rūpintojai).</w:t>
      </w:r>
    </w:p>
    <w:p>
      <w:pPr>
        <w:pStyle w:val="2"/>
        <w:pageBreakBefore w:val="0"/>
        <w:kinsoku/>
        <w:wordWrap/>
        <w:overflowPunct/>
        <w:topLinePunct w:val="0"/>
        <w:autoSpaceDE/>
        <w:autoSpaceDN/>
        <w:bidi w:val="0"/>
        <w:adjustRightInd/>
        <w:snapToGrid/>
        <w:textAlignment w:val="auto"/>
        <w:rPr>
          <w:highlight w:val="none"/>
        </w:rPr>
      </w:pPr>
      <w:r>
        <w:rPr>
          <w:highlight w:val="none"/>
        </w:rPr>
        <w:t>V. Akademinio nesąžiningumo prevencija</w:t>
      </w:r>
    </w:p>
    <w:p>
      <w:pPr>
        <w:pageBreakBefore w:val="0"/>
        <w:numPr>
          <w:ilvl w:val="0"/>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Mokykloje imamasi šių priemonių siekiant užkirsti kelią akademiniam nesąžiningumui:</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Mokyklos bibliotekininkas pasiruošęs padėti mokiniams gilinti mokslinių tyrimų, informacijos ieškojimo įgūdžius. Jis gali padėti pasirinkti patikimą informaciją iš įvairių šaltinių ir paaiškinanti, kaip atpažinti duomenų šaltinius, kompiuterines programas, meno kūrinius ir kt.;</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Visi mokyklos mokytojai palaiko akademinį sąžiningumą ir skatina tinkamai cituoti bei nurodyti šaltinius;</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Sudarytas ,,Citavimo gidas” pasiekiamas bendruomenei mokyklos internetinėje svetainėje, mokyklos bibliotekoje ir individualaus mokymosi erdvėse;</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Mokiniai, atliekantys tiriamuosius, brandos ar asmeninius projektus, pasirašo Akademinio sąžiningumo sutartį su mokykla, kad yra susipažinę su šiuo tvarkos aprašu ir pažada jo laikytis; </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Mokykloje minimos Tarptautinė antikorupcinė diena ir sąžiningumo diena. Organizuojami renginiai, skirti mokyklos bendruomenės narių diskusijoms norint pabrėžti sąžiningumo, pasitikėjimo, patikimumo ir pagarbos kitiems svarbą;</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Visa mokyklos bendruomenė bendradarbiauja</w:t>
      </w:r>
      <w:r>
        <w:rPr>
          <w:rFonts w:ascii="Times New Roman" w:hAnsi="Times New Roman" w:cs="Times New Roman"/>
          <w:color w:val="0070C0"/>
          <w:sz w:val="24"/>
          <w:szCs w:val="24"/>
          <w:highlight w:val="none"/>
        </w:rPr>
        <w:t xml:space="preserve"> </w:t>
      </w:r>
      <w:r>
        <w:rPr>
          <w:rFonts w:ascii="Times New Roman" w:hAnsi="Times New Roman" w:cs="Times New Roman"/>
          <w:sz w:val="24"/>
          <w:szCs w:val="24"/>
          <w:highlight w:val="none"/>
        </w:rPr>
        <w:t>siekdama</w:t>
      </w:r>
      <w:r>
        <w:rPr>
          <w:rFonts w:ascii="Times New Roman" w:hAnsi="Times New Roman" w:cs="Times New Roman"/>
          <w:color w:val="0070C0"/>
          <w:sz w:val="24"/>
          <w:szCs w:val="24"/>
          <w:highlight w:val="none"/>
        </w:rPr>
        <w:t xml:space="preserve"> </w:t>
      </w:r>
      <w:r>
        <w:rPr>
          <w:rFonts w:ascii="Times New Roman" w:hAnsi="Times New Roman" w:cs="Times New Roman"/>
          <w:sz w:val="24"/>
          <w:szCs w:val="24"/>
          <w:highlight w:val="none"/>
        </w:rPr>
        <w:t>skatinti sąžiningą akademinę praktiką.</w:t>
      </w:r>
    </w:p>
    <w:p>
      <w:pPr>
        <w:pStyle w:val="2"/>
        <w:pageBreakBefore w:val="0"/>
        <w:kinsoku/>
        <w:wordWrap/>
        <w:overflowPunct/>
        <w:topLinePunct w:val="0"/>
        <w:autoSpaceDE/>
        <w:autoSpaceDN/>
        <w:bidi w:val="0"/>
        <w:adjustRightInd/>
        <w:snapToGrid/>
        <w:textAlignment w:val="auto"/>
        <w:rPr>
          <w:highlight w:val="none"/>
        </w:rPr>
      </w:pPr>
      <w:r>
        <w:rPr>
          <w:highlight w:val="none"/>
        </w:rPr>
        <w:t>VI. Atsakomybės</w:t>
      </w:r>
    </w:p>
    <w:p>
      <w:pPr>
        <w:pageBreakBefore w:val="0"/>
        <w:numPr>
          <w:ilvl w:val="0"/>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highlight w:val="none"/>
        </w:rPr>
      </w:pPr>
      <w:r>
        <w:rPr>
          <w:rFonts w:ascii="Times New Roman" w:hAnsi="Times New Roman" w:cs="Times New Roman"/>
          <w:sz w:val="24"/>
          <w:szCs w:val="24"/>
          <w:highlight w:val="none"/>
        </w:rPr>
        <w:t xml:space="preserve">Kiekvienas mūsų gimnazijos bendruomenės narys yra vienodai atsakingas už pagarbos, pasitikėjimo ir sąžiningumo vertybių laikymąsi. Todėl kiekvienas narys turi pranešti mokyklos administracijai apie galimai netinkamą mokinių elgesį ar netinkamus administravimo atvejus. </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Mokyklos atsakomybės: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parengti Akademinio sąžiningumo tvarkos aprašą, jį nuolat koreguoti ir atnaujinti;</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ugdyti ir skatinti akademinį sąžiningumą mokyklos bendruomenėje;</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suteikti mokytojams profesinio tobulėjimo galimybes;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išsiaiškinti visas situacijas, jei yra nesutarimų dėl akademinio sąžiningumo nusižengimų;</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padėti mokiniams suprasti akademinio sąžiningumo svarbą ir autentiško mokinio darbo raštu ir žodžiu, kaip jo intelektinės nuosavybės, principą; </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skatinti (ugdyti) gerąją akademinio sąžiningumo praktiką.</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b/>
          <w:bCs/>
          <w:sz w:val="24"/>
          <w:szCs w:val="24"/>
          <w:highlight w:val="none"/>
        </w:rPr>
        <w:t>Mokytojų atsakomybės: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būti pavyzdžiu mokiniams skatinant akademinį sąžiningumą mokykloje;</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padėti mokiniams suprasti, kas yra akademinis sąžiningumas, suvokti, kad autentiškas mokinio darbas raštu arba žodžiu yra jo intelektinė nuosavybė;</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formuoti savarankiško mokymosi, akademinio rašymo, mokslinių tyrimų atlikimo, šaltinių nuorodų, bibliografijos sudarymo įgūdžius;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padėti suprasti, kas yra piktnaudžiavimas pasitikėjimu (kas yra plagijavimas, nusirašinėjimas ir netinkamas elgesys per kontrolinį darbą ir egzaminą);</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vieningai vadovautis gimnazijos akademinio sąžiningumo tvarkos aprašu.</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Tėvų atsakomybės: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suprasti mokinių netinkamą elgesį ir jo pasekmes;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laikytis gimnazijos Akademinio sąžiningumo tvarkos aprašo ir remti akademinio sąžiningumo prevencijos priemones. Taip pat susilaikyti nuo per didelės pagalbos vaikams atliekant mokytojų paskirtas užduotis;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skatinti vaikų supratimą apie akademinio sąžiningumo svarbą;</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pranešti mokyklos administracijai apie visus galimus mokinių netinkamo elgesio ar netinkamo nesąžiningumo administravimo atvejus.</w:t>
      </w:r>
    </w:p>
    <w:p>
      <w:pPr>
        <w:pageBreakBefore w:val="0"/>
        <w:numPr>
          <w:ilvl w:val="1"/>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Mokinių atsakomybės: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suprasti akademinio sąžiningumo svarbą ir tai, kas yra netinkamas akademinis elgesys ir jo pasekmės;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esant poreikiui prašyti mokytojų ar bibliotekininko pagalbos;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užtikrinti, kad visi pateikti darbai būtų autentiški;</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sąžiningai ir pagal savo galimybes išmokti ir atlikti užduotis;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tinkamai nurodyti šaltinius vadovaujantis ,,Citavimo gidu”;</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susilaikyti nuo bet kokios neleistinos pagalbos (draugams, artimiesiems, kitiems mokiniams) užbaigiant darbą ar jį redaguojant;</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atsakingai naudotis interneto ir socialinės žiniasklaidos platformų teikiama informacija, kritiškai ją vertinant;</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pranešti mokyklos administracijai apie visus galimus mokinių netinkamo elgesio ar netinkamo administravimo atvejus;</w:t>
      </w:r>
    </w:p>
    <w:p>
      <w:pPr>
        <w:pageBreakBefore w:val="0"/>
        <w:numPr>
          <w:ilvl w:val="2"/>
          <w:numId w:val="2"/>
        </w:numPr>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atliekant tiriamuosius, brandos ar asmeninius projektus pasirašyti akademinio sąžiningumo sutartį su mokykla.</w:t>
      </w:r>
    </w:p>
    <w:p>
      <w:pPr>
        <w:pStyle w:val="2"/>
        <w:pageBreakBefore w:val="0"/>
        <w:kinsoku/>
        <w:wordWrap/>
        <w:overflowPunct/>
        <w:topLinePunct w:val="0"/>
        <w:autoSpaceDE/>
        <w:autoSpaceDN/>
        <w:bidi w:val="0"/>
        <w:adjustRightInd/>
        <w:snapToGrid/>
        <w:textAlignment w:val="auto"/>
        <w:rPr>
          <w:highlight w:val="none"/>
        </w:rPr>
      </w:pPr>
      <w:r>
        <w:rPr>
          <w:highlight w:val="none"/>
        </w:rPr>
        <w:t xml:space="preserve">VII. Mokinio teisės </w:t>
      </w:r>
    </w:p>
    <w:p>
      <w:pPr>
        <w:pageBreakBefore w:val="0"/>
        <w:kinsoku/>
        <w:wordWrap/>
        <w:overflowPunct/>
        <w:topLinePunct w:val="0"/>
        <w:autoSpaceDE/>
        <w:autoSpaceDN/>
        <w:bidi w:val="0"/>
        <w:adjustRightInd/>
        <w:snapToGrid/>
        <w:spacing w:after="0" w:line="360" w:lineRule="auto"/>
        <w:ind w:firstLine="66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Jei mokinys yra įtariamas pažeidęs mokyklos akademinio sąžiningumo tvarkos aprašą, mokinys turi teisę raštu pateikti įrodymų, kad nepažeidė akademinio sąžiningumo principų.</w:t>
      </w:r>
    </w:p>
    <w:p>
      <w:pPr>
        <w:pageBreakBefore w:val="0"/>
        <w:kinsoku/>
        <w:wordWrap/>
        <w:overflowPunct/>
        <w:topLinePunct w:val="0"/>
        <w:autoSpaceDE/>
        <w:autoSpaceDN/>
        <w:bidi w:val="0"/>
        <w:adjustRightInd/>
        <w:snapToGrid/>
        <w:spacing w:after="0" w:line="360" w:lineRule="auto"/>
        <w:ind w:firstLine="660"/>
        <w:jc w:val="both"/>
        <w:textAlignment w:val="auto"/>
        <w:rPr>
          <w:rFonts w:ascii="Times New Roman" w:hAnsi="Times New Roman" w:eastAsia="Times New Roman" w:cs="Times New Roman"/>
          <w:sz w:val="24"/>
          <w:szCs w:val="24"/>
          <w:highlight w:val="none"/>
        </w:rPr>
      </w:pPr>
      <w:r>
        <w:rPr>
          <w:rFonts w:ascii="Times New Roman" w:hAnsi="Times New Roman" w:eastAsia="Calibri" w:cs="Times New Roman"/>
          <w:sz w:val="24"/>
          <w:szCs w:val="24"/>
          <w:highlight w:val="none"/>
        </w:rPr>
        <w:t xml:space="preserve">Mokiniai, </w:t>
      </w:r>
      <w:r>
        <w:rPr>
          <w:rFonts w:hint="default" w:ascii="Times New Roman" w:hAnsi="Times New Roman" w:eastAsia="Calibri" w:cs="Times New Roman"/>
          <w:sz w:val="24"/>
          <w:szCs w:val="24"/>
          <w:highlight w:val="none"/>
          <w:lang w:val="lt-LT"/>
        </w:rPr>
        <w:t xml:space="preserve">kurie </w:t>
      </w:r>
      <w:r>
        <w:rPr>
          <w:rFonts w:ascii="Times New Roman" w:hAnsi="Times New Roman" w:eastAsia="Calibri" w:cs="Times New Roman"/>
          <w:sz w:val="24"/>
          <w:szCs w:val="24"/>
          <w:highlight w:val="none"/>
        </w:rPr>
        <w:t>mok</w:t>
      </w:r>
      <w:r>
        <w:rPr>
          <w:rFonts w:hint="default" w:ascii="Times New Roman" w:hAnsi="Times New Roman" w:eastAsia="Calibri" w:cs="Times New Roman"/>
          <w:sz w:val="24"/>
          <w:szCs w:val="24"/>
          <w:highlight w:val="none"/>
          <w:lang w:val="lt-LT"/>
        </w:rPr>
        <w:t>osi</w:t>
      </w:r>
      <w:r>
        <w:rPr>
          <w:rFonts w:ascii="Times New Roman" w:hAnsi="Times New Roman" w:eastAsia="Calibri" w:cs="Times New Roman"/>
          <w:sz w:val="24"/>
          <w:szCs w:val="24"/>
          <w:highlight w:val="none"/>
        </w:rPr>
        <w:t xml:space="preserve"> pagal pritaikytą programą, gali naudotis leistinomis pagalbos </w:t>
      </w:r>
      <w:r>
        <w:rPr>
          <w:rFonts w:ascii="Times New Roman" w:hAnsi="Times New Roman" w:eastAsia="Times New Roman" w:cs="Times New Roman"/>
          <w:sz w:val="24"/>
          <w:szCs w:val="24"/>
          <w:highlight w:val="none"/>
        </w:rPr>
        <w:t>priemonėmis;</w:t>
      </w:r>
    </w:p>
    <w:p>
      <w:pPr>
        <w:pageBreakBefore w:val="0"/>
        <w:kinsoku/>
        <w:wordWrap/>
        <w:overflowPunct/>
        <w:topLinePunct w:val="0"/>
        <w:autoSpaceDE/>
        <w:autoSpaceDN/>
        <w:bidi w:val="0"/>
        <w:adjustRightInd/>
        <w:snapToGrid/>
        <w:spacing w:after="0" w:line="360" w:lineRule="auto"/>
        <w:ind w:firstLine="660"/>
        <w:jc w:val="both"/>
        <w:textAlignment w:val="auto"/>
        <w:rPr>
          <w:rFonts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lang w:val="lt-LT"/>
        </w:rPr>
        <w:t>Mokiniai turi teisę t</w:t>
      </w:r>
      <w:r>
        <w:rPr>
          <w:rFonts w:ascii="Times New Roman" w:hAnsi="Times New Roman" w:eastAsia="Times New Roman" w:cs="Times New Roman"/>
          <w:sz w:val="24"/>
          <w:szCs w:val="24"/>
          <w:highlight w:val="none"/>
        </w:rPr>
        <w:t xml:space="preserve">eikti argumentuotus pasiūlymus dėl Akademinio sąžiningumo tvarkos aprašo korekcijos ar papildymo.  </w:t>
      </w:r>
    </w:p>
    <w:p>
      <w:pPr>
        <w:pStyle w:val="2"/>
        <w:pageBreakBefore w:val="0"/>
        <w:kinsoku/>
        <w:wordWrap/>
        <w:overflowPunct/>
        <w:topLinePunct w:val="0"/>
        <w:autoSpaceDE/>
        <w:autoSpaceDN/>
        <w:bidi w:val="0"/>
        <w:adjustRightInd/>
        <w:snapToGrid/>
        <w:textAlignment w:val="auto"/>
        <w:rPr>
          <w:highlight w:val="none"/>
        </w:rPr>
      </w:pPr>
      <w:r>
        <w:rPr>
          <w:highlight w:val="none"/>
        </w:rPr>
        <w:t>VIII. Dokumento redagavimas</w:t>
      </w:r>
    </w:p>
    <w:p>
      <w:pPr>
        <w:pageBreakBefore w:val="0"/>
        <w:kinsoku/>
        <w:wordWrap/>
        <w:overflowPunct/>
        <w:topLinePunct w:val="0"/>
        <w:autoSpaceDE/>
        <w:autoSpaceDN/>
        <w:bidi w:val="0"/>
        <w:adjustRightInd/>
        <w:snapToGrid/>
        <w:spacing w:after="0" w:line="360" w:lineRule="auto"/>
        <w:ind w:firstLine="660" w:firstLineChars="275"/>
        <w:jc w:val="both"/>
        <w:textAlignment w:val="auto"/>
        <w:rPr>
          <w:rFonts w:ascii="Times New Roman" w:hAnsi="Times New Roman" w:cs="Times New Roman"/>
          <w:sz w:val="24"/>
          <w:szCs w:val="24"/>
          <w:highlight w:val="none"/>
        </w:rPr>
      </w:pPr>
      <w:r>
        <w:rPr>
          <w:rFonts w:ascii="Times New Roman" w:hAnsi="Times New Roman"/>
          <w:sz w:val="24"/>
          <w:szCs w:val="24"/>
          <w:highlight w:val="none"/>
        </w:rPr>
        <w:t>Akademinio sąžiningumo tvarkos aprašas kuriamas bendradarbiaujant mokyklos administracijai, mokytojams ir mokiniams. Tvarkos aprašas peržiūrimas kas dveji metai, atsižvelgiant į poreikius ir visus galimus ugdymo pokyčius.</w:t>
      </w:r>
    </w:p>
    <w:p>
      <w:bookmarkStart w:id="0" w:name="_GoBack"/>
      <w:bookmarkEnd w:id="0"/>
    </w:p>
    <w:sectPr>
      <w:pgSz w:w="11906" w:h="16838"/>
      <w:pgMar w:top="567" w:right="850" w:bottom="1134" w:left="1701" w:header="567" w:footer="567"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BA"/>
    <w:family w:val="swiss"/>
    <w:pitch w:val="default"/>
    <w:sig w:usb0="E4002EFF" w:usb1="C000247B" w:usb2="00000009" w:usb3="00000000" w:csb0="200001FF" w:csb1="00000000"/>
  </w:font>
  <w:font w:name="Cambria">
    <w:panose1 w:val="02040503050406030204"/>
    <w:charset w:val="BA"/>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t>6</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5A1CB"/>
    <w:multiLevelType w:val="multilevel"/>
    <w:tmpl w:val="5BA5A1CB"/>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1">
    <w:nsid w:val="71236012"/>
    <w:multiLevelType w:val="multilevel"/>
    <w:tmpl w:val="71236012"/>
    <w:lvl w:ilvl="0" w:tentative="0">
      <w:start w:val="2"/>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13C95"/>
    <w:rsid w:val="1B013C95"/>
    <w:rsid w:val="6535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t-LT" w:eastAsia="en-US" w:bidi="ar-SA"/>
    </w:rPr>
  </w:style>
  <w:style w:type="paragraph" w:styleId="2">
    <w:name w:val="heading 1"/>
    <w:basedOn w:val="1"/>
    <w:next w:val="1"/>
    <w:qFormat/>
    <w:uiPriority w:val="9"/>
    <w:pPr>
      <w:keepNext/>
      <w:keepLines/>
      <w:spacing w:before="480" w:after="0" w:line="360" w:lineRule="auto"/>
      <w:jc w:val="center"/>
      <w:outlineLvl w:val="0"/>
    </w:pPr>
    <w:rPr>
      <w:rFonts w:ascii="Times New Roman" w:hAnsi="Times New Roman" w:eastAsiaTheme="majorEastAsia" w:cstheme="majorBidi"/>
      <w:b/>
      <w:bCs/>
      <w:color w:val="000000" w:themeColor="text1"/>
      <w:sz w:val="28"/>
      <w:szCs w:val="28"/>
      <w14:textFill>
        <w14:solidFill>
          <w14:schemeClr w14:val="tx1"/>
        </w14:solidFill>
      </w14:textFill>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677"/>
        <w:tab w:val="right" w:pos="9355"/>
      </w:tabs>
      <w:spacing w:after="0" w:line="240" w:lineRule="auto"/>
    </w:pPr>
    <w:rPr>
      <w:rFonts w:ascii="Calibri" w:hAnsi="Calibri" w:eastAsia="Calibri" w:cs="Times New Roman"/>
    </w:rPr>
  </w:style>
  <w:style w:type="paragraph" w:customStyle="1" w:styleId="6">
    <w:name w:val="Turinio antraštė1"/>
    <w:basedOn w:val="1"/>
    <w:next w:val="7"/>
    <w:semiHidden/>
    <w:qFormat/>
    <w:uiPriority w:val="0"/>
    <w:pPr>
      <w:keepNext/>
      <w:keepLines/>
      <w:widowControl w:val="0"/>
      <w:spacing w:before="100" w:beforeAutospacing="1" w:after="100" w:afterAutospacing="1" w:line="273" w:lineRule="auto"/>
      <w:jc w:val="center"/>
    </w:pPr>
    <w:rPr>
      <w:rFonts w:ascii="Calibri Light" w:hAnsi="Calibri Light" w:eastAsia="SimSun" w:cs="Cambria"/>
      <w:b/>
      <w:bCs/>
      <w:color w:val="000000"/>
      <w:sz w:val="24"/>
      <w:szCs w:val="24"/>
      <w:lang w:eastAsia="lt-LT"/>
    </w:rPr>
  </w:style>
  <w:style w:type="paragraph" w:customStyle="1" w:styleId="7">
    <w:name w:val="Normal1"/>
    <w:qFormat/>
    <w:uiPriority w:val="0"/>
    <w:pPr>
      <w:spacing w:before="100" w:beforeAutospacing="1" w:after="100" w:afterAutospacing="1" w:line="273" w:lineRule="auto"/>
    </w:pPr>
    <w:rPr>
      <w:rFonts w:ascii="Calibri" w:hAnsi="Calibri" w:eastAsia="SimSun" w:cs="Times New Roman"/>
      <w:sz w:val="24"/>
      <w:szCs w:val="24"/>
      <w:lang w:val="lt-LT" w:eastAsia="lt-LT"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notes" Target="footnotes.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as" ma:contentTypeID="0x01010018050ABC87144D468A2F916C93D8927D" ma:contentTypeVersion="8" ma:contentTypeDescription="Kurkite naują dokumentą." ma:contentTypeScope="" ma:versionID="db8623d25e9dddd6f31cdefb17e31172">
  <xsd:schema xmlns:xsd="http://www.w3.org/2001/XMLSchema" xmlns:xs="http://www.w3.org/2001/XMLSchema" xmlns:p="http://schemas.microsoft.com/office/2006/metadata/properties" xmlns:ns2="1fb49a8d-0109-43a6-9aaf-ffe2f2358b85" targetNamespace="http://schemas.microsoft.com/office/2006/metadata/properties" ma:root="true" ma:fieldsID="887279268082551d9859d1a26f8b4063" ns2:_="">
    <xsd:import namespace="1fb49a8d-0109-43a6-9aaf-ffe2f2358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49a8d-0109-43a6-9aaf-ffe2f2358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88927-4AF4-4323-B904-7D2F0424A6B8}"/>
</file>

<file path=customXml/itemProps3.xml><?xml version="1.0" encoding="utf-8"?>
<ds:datastoreItem xmlns:ds="http://schemas.openxmlformats.org/officeDocument/2006/customXml" ds:itemID="{B03A2E25-BFD5-4A18-AFA4-DFF3868A933C}"/>
</file>

<file path=customXml/itemProps4.xml><?xml version="1.0" encoding="utf-8"?>
<ds:datastoreItem xmlns:ds="http://schemas.openxmlformats.org/officeDocument/2006/customXml" ds:itemID="{0E8629AE-9391-4E5F-B996-127ECBDF6AB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Giedre</cp:lastModifiedBy>
  <cp:revision>1</cp:revision>
  <dcterms:created xsi:type="dcterms:W3CDTF">2021-06-08T05:41:00Z</dcterms:created>
  <dcterms:modified xsi:type="dcterms:W3CDTF">2021-06-08T05:49:18Z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y fmtid="{D5CDD505-2E9C-101B-9397-08002B2CF9AE}" pid="3" name="ContentTypeId">
    <vt:lpwstr>0x01010018050ABC87144D468A2F916C93D8927D</vt:lpwstr>
  </property>
</Properties>
</file>